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52746A8B" w:rsidR="000D2D16" w:rsidRPr="00282548" w:rsidRDefault="000D2D16"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hAnsiTheme="majorHAnsi" w:cstheme="majorHAnsi"/>
          <w:b/>
          <w:color w:val="000000" w:themeColor="text1"/>
        </w:rPr>
        <w:t>Transaction number:</w:t>
      </w:r>
      <w:r w:rsidRPr="00282548">
        <w:rPr>
          <w:rFonts w:asciiTheme="majorHAnsi" w:hAnsiTheme="majorHAnsi" w:cstheme="majorHAnsi"/>
        </w:rPr>
        <w:tab/>
      </w:r>
      <w:r w:rsidR="00D34939">
        <w:rPr>
          <w:rFonts w:asciiTheme="majorHAnsi" w:hAnsiTheme="majorHAnsi" w:cstheme="majorHAnsi"/>
          <w:color w:val="000000" w:themeColor="text1"/>
          <w:szCs w:val="22"/>
        </w:rPr>
        <w:t>81318825</w:t>
      </w:r>
    </w:p>
    <w:p w14:paraId="577E865F" w14:textId="74A6BED7" w:rsidR="00FE6090" w:rsidRPr="00D34939" w:rsidRDefault="000D2D16" w:rsidP="00B75366">
      <w:pPr>
        <w:spacing w:before="120"/>
        <w:ind w:left="3119" w:hanging="3119"/>
        <w:rPr>
          <w:rFonts w:asciiTheme="majorHAnsi" w:eastAsiaTheme="minorHAnsi" w:hAnsiTheme="majorHAnsi" w:cstheme="majorHAnsi"/>
          <w:szCs w:val="22"/>
          <w:lang w:eastAsia="en-US" w:bidi="ar-SA"/>
        </w:rPr>
      </w:pPr>
      <w:r w:rsidRPr="00282548">
        <w:rPr>
          <w:rFonts w:asciiTheme="majorHAnsi" w:eastAsiaTheme="minorHAnsi" w:hAnsiTheme="majorHAnsi" w:cstheme="majorHAnsi"/>
          <w:b/>
          <w:szCs w:val="22"/>
          <w:lang w:val="en-US" w:eastAsia="en-US" w:bidi="ar-SA"/>
        </w:rPr>
        <w:t>Project p</w:t>
      </w:r>
      <w:r w:rsidR="00FE6090" w:rsidRPr="00282548">
        <w:rPr>
          <w:rFonts w:asciiTheme="majorHAnsi" w:eastAsiaTheme="minorHAnsi" w:hAnsiTheme="majorHAnsi" w:cstheme="majorHAnsi"/>
          <w:b/>
          <w:szCs w:val="22"/>
          <w:lang w:val="en-US" w:eastAsia="en-US" w:bidi="ar-SA"/>
        </w:rPr>
        <w:t>rocessing number:</w:t>
      </w:r>
      <w:r w:rsidR="00FE6090" w:rsidRPr="00282548">
        <w:rPr>
          <w:rFonts w:asciiTheme="majorHAnsi" w:eastAsiaTheme="minorHAnsi" w:hAnsiTheme="majorHAnsi" w:cstheme="majorHAnsi"/>
          <w:szCs w:val="22"/>
          <w:lang w:val="en-US" w:eastAsia="en-US" w:bidi="ar-SA"/>
        </w:rPr>
        <w:tab/>
      </w:r>
      <w:r w:rsidR="00D34939" w:rsidRPr="00D34939">
        <w:rPr>
          <w:rFonts w:asciiTheme="majorHAnsi" w:eastAsiaTheme="minorHAnsi" w:hAnsiTheme="majorHAnsi" w:cstheme="majorHAnsi"/>
          <w:szCs w:val="22"/>
          <w:lang w:eastAsia="en-US" w:bidi="ar-SA"/>
        </w:rPr>
        <w:t>G</w:t>
      </w:r>
      <w:r w:rsidR="00D34939">
        <w:rPr>
          <w:rFonts w:asciiTheme="majorHAnsi" w:eastAsiaTheme="minorHAnsi" w:hAnsiTheme="majorHAnsi" w:cstheme="majorHAnsi"/>
          <w:szCs w:val="22"/>
          <w:lang w:eastAsia="en-US" w:bidi="ar-SA"/>
        </w:rPr>
        <w:t>012247-101</w:t>
      </w:r>
    </w:p>
    <w:p w14:paraId="2BF5DB0E" w14:textId="2A9124F5" w:rsidR="007D416C" w:rsidRPr="00D34939" w:rsidRDefault="00051C86" w:rsidP="00B75366">
      <w:pPr>
        <w:spacing w:before="120"/>
        <w:ind w:left="3119" w:hanging="3119"/>
        <w:rPr>
          <w:rFonts w:asciiTheme="majorHAnsi" w:eastAsiaTheme="minorHAnsi" w:hAnsiTheme="majorHAnsi" w:cstheme="majorHAnsi"/>
          <w:szCs w:val="22"/>
          <w:lang w:eastAsia="en-US" w:bidi="ar-SA"/>
        </w:rPr>
      </w:pPr>
      <w:r w:rsidRPr="00282548">
        <w:rPr>
          <w:rFonts w:asciiTheme="majorHAnsi" w:eastAsiaTheme="minorHAnsi" w:hAnsiTheme="majorHAnsi" w:cstheme="majorHAnsi"/>
          <w:b/>
          <w:szCs w:val="22"/>
          <w:lang w:val="en-US" w:eastAsia="en-US" w:bidi="ar-SA"/>
        </w:rPr>
        <w:t>P</w:t>
      </w:r>
      <w:r w:rsidR="007D416C" w:rsidRPr="00282548">
        <w:rPr>
          <w:rFonts w:asciiTheme="majorHAnsi" w:eastAsiaTheme="minorHAnsi" w:hAnsiTheme="majorHAnsi" w:cstheme="majorHAnsi"/>
          <w:b/>
          <w:szCs w:val="22"/>
          <w:lang w:val="en-US" w:eastAsia="en-US" w:bidi="ar-SA"/>
        </w:rPr>
        <w:t>roject title:</w:t>
      </w:r>
      <w:r w:rsidR="007D416C" w:rsidRPr="00282548">
        <w:rPr>
          <w:rFonts w:asciiTheme="majorHAnsi" w:eastAsiaTheme="minorHAnsi" w:hAnsiTheme="majorHAnsi" w:cstheme="majorHAnsi"/>
          <w:szCs w:val="22"/>
          <w:lang w:val="en-US" w:eastAsia="en-US" w:bidi="ar-SA"/>
        </w:rPr>
        <w:tab/>
      </w:r>
      <w:r w:rsidR="00D34939" w:rsidRPr="00D34939">
        <w:rPr>
          <w:rFonts w:asciiTheme="majorHAnsi" w:eastAsiaTheme="minorHAnsi" w:hAnsiTheme="majorHAnsi" w:cstheme="majorHAnsi"/>
          <w:szCs w:val="22"/>
          <w:lang w:eastAsia="en-US" w:bidi="ar-SA"/>
        </w:rPr>
        <w:t>E</w:t>
      </w:r>
      <w:r w:rsidR="00D34939">
        <w:rPr>
          <w:rFonts w:asciiTheme="majorHAnsi" w:eastAsiaTheme="minorHAnsi" w:hAnsiTheme="majorHAnsi" w:cstheme="majorHAnsi"/>
          <w:szCs w:val="22"/>
          <w:lang w:eastAsia="en-US" w:bidi="ar-SA"/>
        </w:rPr>
        <w:t>U Support to ECOWAS in Peace, Security and Governance (EPSG) Project</w:t>
      </w:r>
    </w:p>
    <w:p w14:paraId="16D60C7E" w14:textId="7748FB03" w:rsidR="00F96F43" w:rsidRPr="00D34939" w:rsidRDefault="00F96F43" w:rsidP="00B75366">
      <w:pPr>
        <w:spacing w:before="120"/>
        <w:ind w:left="3119" w:hanging="3119"/>
        <w:rPr>
          <w:rFonts w:asciiTheme="majorHAnsi" w:eastAsiaTheme="minorHAnsi" w:hAnsiTheme="majorHAnsi" w:cstheme="majorHAnsi"/>
          <w:szCs w:val="22"/>
          <w:lang w:eastAsia="en-US" w:bidi="ar-SA"/>
        </w:rPr>
      </w:pPr>
      <w:r w:rsidRPr="00282548">
        <w:rPr>
          <w:rFonts w:asciiTheme="majorHAnsi" w:eastAsiaTheme="minorHAnsi" w:hAnsiTheme="majorHAnsi" w:cstheme="majorHAnsi"/>
          <w:b/>
          <w:szCs w:val="22"/>
          <w:lang w:val="en-US" w:eastAsia="en-US" w:bidi="ar-SA"/>
        </w:rPr>
        <w:t>Works/services tendered:</w:t>
      </w:r>
      <w:r w:rsidRPr="00282548">
        <w:rPr>
          <w:rFonts w:asciiTheme="majorHAnsi" w:eastAsiaTheme="minorHAnsi" w:hAnsiTheme="majorHAnsi" w:cstheme="majorHAnsi"/>
          <w:szCs w:val="22"/>
          <w:lang w:val="en-US" w:eastAsia="en-US" w:bidi="ar-SA"/>
        </w:rPr>
        <w:tab/>
      </w:r>
      <w:r w:rsidR="00D34939" w:rsidRPr="00D34939">
        <w:rPr>
          <w:rFonts w:asciiTheme="majorHAnsi" w:eastAsiaTheme="minorHAnsi" w:hAnsiTheme="majorHAnsi" w:cstheme="majorHAnsi"/>
          <w:szCs w:val="22"/>
          <w:lang w:eastAsia="en-US" w:bidi="ar-SA"/>
        </w:rPr>
        <w:t>EP</w:t>
      </w:r>
      <w:r w:rsidR="00D34939">
        <w:rPr>
          <w:rFonts w:asciiTheme="majorHAnsi" w:eastAsiaTheme="minorHAnsi" w:hAnsiTheme="majorHAnsi" w:cstheme="majorHAnsi"/>
          <w:szCs w:val="22"/>
          <w:lang w:eastAsia="en-US" w:bidi="ar-SA"/>
        </w:rPr>
        <w:t xml:space="preserve">SG Expert Pool </w:t>
      </w:r>
    </w:p>
    <w:p w14:paraId="11E17B2F" w14:textId="4F495FE9" w:rsidR="00051C86" w:rsidRPr="00282548" w:rsidRDefault="007D416C"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eastAsiaTheme="minorHAnsi" w:hAnsiTheme="majorHAnsi" w:cstheme="majorHAnsi"/>
          <w:b/>
          <w:szCs w:val="22"/>
          <w:lang w:val="en-US" w:eastAsia="en-US" w:bidi="ar-SA"/>
        </w:rPr>
        <w:t>Country:</w:t>
      </w:r>
      <w:r w:rsidR="00595711" w:rsidRPr="00282548">
        <w:rPr>
          <w:rFonts w:asciiTheme="majorHAnsi" w:eastAsiaTheme="minorHAnsi" w:hAnsiTheme="majorHAnsi" w:cstheme="majorHAnsi"/>
          <w:szCs w:val="22"/>
          <w:lang w:val="en-US" w:eastAsia="en-US" w:bidi="ar-SA"/>
        </w:rPr>
        <w:tab/>
      </w:r>
      <w:r w:rsidR="00D34939" w:rsidRPr="00D34939">
        <w:rPr>
          <w:rFonts w:asciiTheme="majorHAnsi" w:eastAsiaTheme="minorHAnsi" w:hAnsiTheme="majorHAnsi" w:cstheme="majorHAnsi"/>
          <w:szCs w:val="22"/>
          <w:lang w:eastAsia="en-US" w:bidi="ar-SA"/>
        </w:rPr>
        <w:t>ECOWAS Region</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w:t>
      </w:r>
      <w:proofErr w:type="spellStart"/>
      <w:r w:rsidR="00D30ADC" w:rsidRPr="000A63B6">
        <w:rPr>
          <w:rFonts w:cs="Arial"/>
          <w:bCs/>
          <w:i/>
          <w:sz w:val="18"/>
          <w:szCs w:val="18"/>
          <w:lang w:eastAsia="de-DE"/>
        </w:rPr>
        <w:t>Geldwäschegesetz</w:t>
      </w:r>
      <w:proofErr w:type="spellEnd"/>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proofErr w:type="spellStart"/>
        <w:r w:rsidRPr="00380ED0">
          <w:rPr>
            <w:rStyle w:val="Hyperlink"/>
            <w:i/>
            <w:iCs/>
            <w:sz w:val="18"/>
            <w:szCs w:val="18"/>
          </w:rPr>
          <w:t>eForms</w:t>
        </w:r>
        <w:proofErr w:type="spellEnd"/>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1A17D9F0"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lastRenderedPageBreak/>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proofErr w:type="spellStart"/>
            <w:r w:rsidRPr="000A63B6">
              <w:rPr>
                <w:rFonts w:cs="Arial"/>
                <w:b/>
                <w:bCs/>
                <w:lang w:val="de-DE"/>
              </w:rPr>
              <w:t>Please</w:t>
            </w:r>
            <w:proofErr w:type="spellEnd"/>
            <w:r w:rsidRPr="000A63B6">
              <w:rPr>
                <w:rFonts w:cs="Arial"/>
                <w:b/>
                <w:bCs/>
                <w:lang w:val="de-DE"/>
              </w:rPr>
              <w:t xml:space="preserve"> </w:t>
            </w:r>
            <w:proofErr w:type="spellStart"/>
            <w:r w:rsidRPr="000A63B6">
              <w:rPr>
                <w:rFonts w:cs="Arial"/>
                <w:b/>
                <w:bCs/>
                <w:lang w:val="de-DE"/>
              </w:rPr>
              <w:t>select</w:t>
            </w:r>
            <w:proofErr w:type="spellEnd"/>
            <w:r w:rsidRPr="000A63B6">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w:t>
      </w:r>
      <w:proofErr w:type="spellStart"/>
      <w:r w:rsidRPr="00677052">
        <w:rPr>
          <w:rFonts w:cs="Arial"/>
          <w:b/>
          <w:lang w:eastAsia="de-DE" w:bidi="ar-SA"/>
        </w:rPr>
        <w:t>LkSG</w:t>
      </w:r>
      <w:proofErr w:type="spellEnd"/>
      <w:r w:rsidRPr="00677052">
        <w:rPr>
          <w:rFonts w:cs="Arial"/>
          <w:b/>
          <w:lang w:eastAsia="de-DE" w:bidi="ar-SA"/>
        </w:rPr>
        <w:t>)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 xml:space="preserve">If yes, have self-cleansing measures as specified in section 22 (1) </w:t>
      </w:r>
      <w:proofErr w:type="spellStart"/>
      <w:r w:rsidRPr="00677052">
        <w:rPr>
          <w:rFonts w:cs="Arial"/>
          <w:szCs w:val="20"/>
          <w:lang w:eastAsia="de-DE" w:bidi="ar-SA"/>
        </w:rPr>
        <w:t>LkSG</w:t>
      </w:r>
      <w:proofErr w:type="spellEnd"/>
      <w:r w:rsidRPr="00677052">
        <w:rPr>
          <w:rFonts w:cs="Arial"/>
          <w:szCs w:val="20"/>
          <w:lang w:eastAsia="de-DE" w:bidi="ar-SA"/>
        </w:rPr>
        <w:t xml:space="preserve">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0"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 or body(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at the direction of persons,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285A926A" w14:textId="35AFC260" w:rsidR="00520D99" w:rsidRDefault="00520D99">
      <w:pPr>
        <w:rPr>
          <w:rFonts w:asciiTheme="majorHAnsi" w:hAnsiTheme="majorHAnsi" w:cstheme="majorHAnsi"/>
        </w:rPr>
      </w:pPr>
      <w:r>
        <w:rPr>
          <w:rFonts w:asciiTheme="majorHAnsi" w:hAnsiTheme="majorHAnsi" w:cstheme="majorHAnsi"/>
        </w:rPr>
        <w:br w:type="page"/>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lastRenderedPageBreak/>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bookmarkEnd w:id="0"/>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r w:rsidR="004D45B7" w:rsidRPr="00282548">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180DAB05" w:rsidR="00BD66B9" w:rsidRPr="00BD66B9" w:rsidRDefault="00BD66B9" w:rsidP="00405870">
      <w:pPr>
        <w:pStyle w:val="Textkrper"/>
        <w:spacing w:line="259" w:lineRule="auto"/>
        <w:jc w:val="both"/>
        <w:rPr>
          <w:b w:val="0"/>
          <w:i/>
          <w:iCs/>
          <w:szCs w:val="22"/>
        </w:rPr>
      </w:pPr>
      <w:r w:rsidRPr="00BD66B9">
        <w:rPr>
          <w:bCs w:val="0"/>
          <w:i/>
          <w:iCs/>
          <w:szCs w:val="22"/>
        </w:rPr>
        <w:t xml:space="preserve">At least </w:t>
      </w:r>
      <w:r w:rsidR="00E3277D">
        <w:rPr>
          <w:i/>
          <w:iCs/>
        </w:rPr>
        <w:t>4</w:t>
      </w:r>
      <w:r w:rsidRPr="00BD66B9">
        <w:rPr>
          <w:bCs w:val="0"/>
          <w:i/>
          <w:iCs/>
          <w:szCs w:val="22"/>
        </w:rPr>
        <w:t xml:space="preserve"> </w:t>
      </w:r>
      <w:r w:rsidRPr="00087DB6">
        <w:rPr>
          <w:b w:val="0"/>
          <w:i/>
          <w:iCs/>
          <w:szCs w:val="22"/>
        </w:rPr>
        <w:t xml:space="preserve">references </w:t>
      </w:r>
      <w:r w:rsidRPr="00BD66B9">
        <w:rPr>
          <w:bCs w:val="0"/>
          <w:i/>
          <w:iCs/>
          <w:szCs w:val="22"/>
        </w:rPr>
        <w:t xml:space="preserve">in the technical field </w:t>
      </w:r>
      <w:r>
        <w:rPr>
          <w:bCs w:val="0"/>
          <w:i/>
          <w:iCs/>
          <w:szCs w:val="22"/>
        </w:rPr>
        <w:t xml:space="preserve">of </w:t>
      </w:r>
      <w:r w:rsidR="00676078">
        <w:rPr>
          <w:i/>
          <w:iCs/>
        </w:rPr>
        <w:t>structural conflict prevention</w:t>
      </w:r>
      <w:r>
        <w:rPr>
          <w:i/>
          <w:iCs/>
        </w:rPr>
        <w:t xml:space="preserve"> </w:t>
      </w:r>
      <w:r w:rsidRPr="00087DB6">
        <w:rPr>
          <w:b w:val="0"/>
          <w:i/>
          <w:iCs/>
          <w:szCs w:val="22"/>
        </w:rPr>
        <w:t>in the last 3</w:t>
      </w:r>
      <w:r w:rsidR="00E01F7E">
        <w:rPr>
          <w:b w:val="0"/>
          <w:i/>
          <w:iCs/>
          <w:szCs w:val="22"/>
        </w:rPr>
        <w:t>6 months</w:t>
      </w:r>
      <w:r w:rsidR="00676078">
        <w:rPr>
          <w:b w:val="0"/>
          <w:i/>
          <w:iCs/>
          <w:szCs w:val="22"/>
        </w:rPr>
        <w:t xml:space="preserve"> </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E3277D">
        <w:rPr>
          <w:i/>
          <w:iCs/>
        </w:rPr>
        <w:t>150</w:t>
      </w:r>
      <w:r w:rsidR="00676078">
        <w:rPr>
          <w:i/>
          <w:iCs/>
        </w:rPr>
        <w:t>.000,00</w:t>
      </w:r>
      <w:r w:rsidR="00386E8C"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3B6A31E3" w14:textId="436F05C4" w:rsidR="00BD66B9" w:rsidRPr="00F83E87" w:rsidRDefault="00BD66B9" w:rsidP="00405870">
      <w:pPr>
        <w:spacing w:before="40" w:after="280" w:line="259" w:lineRule="auto"/>
        <w:ind w:right="57"/>
        <w:jc w:val="both"/>
        <w:rPr>
          <w:rFonts w:cs="Arial"/>
          <w:bCs/>
          <w:i/>
        </w:rPr>
      </w:pPr>
      <w:r w:rsidRPr="00087DB6">
        <w:rPr>
          <w:rFonts w:cs="Arial"/>
          <w:b/>
          <w:i/>
          <w:iCs/>
        </w:rPr>
        <w:t xml:space="preserve">At least </w:t>
      </w:r>
      <w:r w:rsidR="00676078">
        <w:rPr>
          <w:b/>
          <w:i/>
          <w:iCs/>
        </w:rPr>
        <w:t>2</w:t>
      </w:r>
      <w:r w:rsidRPr="00BD66B9">
        <w:rPr>
          <w:rFonts w:cs="Arial"/>
          <w:bCs/>
          <w:i/>
          <w:iCs/>
        </w:rPr>
        <w:t xml:space="preserve"> references </w:t>
      </w:r>
      <w:r w:rsidRPr="00087DB6">
        <w:rPr>
          <w:rFonts w:cs="Arial"/>
          <w:b/>
          <w:i/>
          <w:iCs/>
        </w:rPr>
        <w:t xml:space="preserve">in </w:t>
      </w:r>
      <w:r w:rsidR="00E3277D">
        <w:rPr>
          <w:rFonts w:cs="Arial"/>
          <w:b/>
          <w:i/>
          <w:iCs/>
        </w:rPr>
        <w:t>Western Africa</w:t>
      </w:r>
      <w:r w:rsidR="00E3277D">
        <w:rPr>
          <w:b/>
          <w:i/>
          <w:iCs/>
        </w:rPr>
        <w:t xml:space="preserve"> in the above-mentioned technical field</w:t>
      </w:r>
      <w:r w:rsidRPr="00BD66B9">
        <w:rPr>
          <w:rFonts w:cs="Arial"/>
          <w:bCs/>
          <w:i/>
          <w:iCs/>
        </w:rPr>
        <w:t xml:space="preserve"> in the last 3</w:t>
      </w:r>
      <w:r w:rsidR="00E01F7E">
        <w:rPr>
          <w:rFonts w:cs="Arial"/>
          <w:bCs/>
          <w:i/>
          <w:iCs/>
        </w:rPr>
        <w:t>6 months</w:t>
      </w:r>
      <w:r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Pr="00BD66B9">
        <w:rPr>
          <w:rFonts w:cs="Arial"/>
          <w:bCs/>
          <w:i/>
          <w:iCs/>
        </w:rPr>
        <w:t>that ha</w:t>
      </w:r>
      <w:r>
        <w:rPr>
          <w:rFonts w:cs="Arial"/>
          <w:bCs/>
          <w:i/>
          <w:iCs/>
        </w:rPr>
        <w:t>d</w:t>
      </w:r>
      <w:r w:rsidRPr="00BD66B9">
        <w:rPr>
          <w:rFonts w:cs="Arial"/>
          <w:bCs/>
          <w:i/>
          <w:iCs/>
        </w:rPr>
        <w:t xml:space="preserve"> a </w:t>
      </w:r>
      <w:r w:rsidRPr="00087DB6">
        <w:rPr>
          <w:rFonts w:cs="Arial"/>
          <w:b/>
          <w:i/>
          <w:iCs/>
        </w:rPr>
        <w:t xml:space="preserve">minimum commission value of EUR </w:t>
      </w:r>
      <w:r w:rsidR="00E3277D">
        <w:rPr>
          <w:b/>
          <w:i/>
          <w:iCs/>
        </w:rPr>
        <w:t>150</w:t>
      </w:r>
      <w:r w:rsidR="0037603A">
        <w:rPr>
          <w:b/>
          <w:i/>
          <w:iCs/>
        </w:rPr>
        <w:t>.000,00</w:t>
      </w:r>
      <w:r w:rsidR="00386E8C" w:rsidRPr="0000115E">
        <w:rPr>
          <w:rFonts w:asciiTheme="majorHAnsi" w:hAnsiTheme="majorHAnsi" w:cstheme="majorHAnsi"/>
          <w:b/>
          <w:i/>
          <w:color w:val="000000" w:themeColor="text1"/>
        </w:rPr>
        <w:t xml:space="preserve"> (net)</w:t>
      </w:r>
      <w:r w:rsidRPr="0000115E">
        <w:rPr>
          <w:rFonts w:cs="Arial"/>
          <w:i/>
          <w:iCs/>
        </w:rPr>
        <w:t xml:space="preserve"> (</w:t>
      </w:r>
      <w:r w:rsidRPr="00087DB6">
        <w:rPr>
          <w:rFonts w:cs="Arial"/>
          <w:bCs/>
          <w:i/>
          <w:iCs/>
          <w:color w:val="FF0000"/>
        </w:rPr>
        <w:t>exclusion criterion</w:t>
      </w:r>
      <w:r w:rsidRPr="00BD66B9">
        <w:rPr>
          <w:rFonts w:cs="Arial"/>
          <w:bCs/>
          <w:i/>
          <w:iCs/>
        </w:rPr>
        <w:t>)</w:t>
      </w:r>
      <w:r>
        <w:rPr>
          <w:rFonts w:cs="Arial"/>
          <w:bCs/>
          <w:i/>
          <w:iCs/>
        </w:rPr>
        <w:t>.</w:t>
      </w:r>
    </w:p>
    <w:p w14:paraId="588CECF7" w14:textId="38AB4DF3" w:rsidR="00F577BD" w:rsidRPr="00282548" w:rsidRDefault="004D45B7"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E3277D">
        <w:rPr>
          <w:rFonts w:cs="Arial"/>
          <w:b/>
          <w:bCs/>
          <w:i/>
          <w:iCs/>
        </w:rPr>
        <w:t>150</w:t>
      </w:r>
      <w:r w:rsidR="0037603A">
        <w:rPr>
          <w:rFonts w:cs="Arial"/>
          <w:b/>
          <w:bCs/>
          <w:i/>
          <w:iCs/>
        </w:rPr>
        <w:t>.000,00</w:t>
      </w:r>
      <w:r w:rsidR="00386E8C" w:rsidRPr="0000115E">
        <w:rPr>
          <w:rFonts w:asciiTheme="majorHAnsi" w:hAnsiTheme="majorHAnsi" w:cstheme="majorHAnsi"/>
          <w:b/>
          <w:i/>
          <w:color w:val="000000" w:themeColor="text1"/>
        </w:rPr>
        <w:t xml:space="preserve"> (net)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1"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1"/>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4A97800E" w:rsidR="00A10620" w:rsidRPr="00AE3B93" w:rsidRDefault="00616C1F" w:rsidP="00405870">
      <w:pPr>
        <w:spacing w:before="100" w:beforeAutospacing="1" w:after="280" w:line="259" w:lineRule="auto"/>
        <w:rPr>
          <w:rFonts w:cs="Arial"/>
          <w:bCs/>
          <w:i/>
        </w:rPr>
      </w:pPr>
      <w:r>
        <w:rPr>
          <w:i/>
        </w:rPr>
        <w:t xml:space="preserve">A technical ranking on the basis of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37603A">
        <w:rPr>
          <w:rFonts w:cs="Arial"/>
          <w:b/>
          <w:bCs/>
          <w:i/>
        </w:rPr>
        <w:t>5</w:t>
      </w:r>
      <w:r>
        <w:rPr>
          <w:b/>
          <w:i/>
        </w:rPr>
        <w:t xml:space="preserve"> tenderers</w:t>
      </w:r>
      <w:r>
        <w:rPr>
          <w:i/>
        </w:rPr>
        <w:t xml:space="preserve"> that will be requested to submit a tender. This will be applied in cases where more </w:t>
      </w:r>
      <w:r>
        <w:rPr>
          <w:b/>
          <w:i/>
        </w:rPr>
        <w:t xml:space="preserve">than </w:t>
      </w:r>
      <w:r w:rsidR="0037603A">
        <w:rPr>
          <w:rFonts w:cs="Arial"/>
          <w:b/>
          <w:bCs/>
          <w:i/>
        </w:rPr>
        <w:t>5</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76D1120A"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r>
        <w:rPr>
          <w:b/>
          <w:i/>
        </w:rPr>
        <w:t>10</w:t>
      </w:r>
      <w:r w:rsidRPr="006E5171">
        <w:rPr>
          <w:rFonts w:cs="Arial"/>
          <w:bCs/>
          <w:i/>
          <w:szCs w:val="22"/>
          <w:lang w:eastAsia="de-DE" w:bidi="ar-SA"/>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0037603A">
        <w:rPr>
          <w:bCs/>
          <w:i/>
          <w:color w:val="000000" w:themeColor="text1"/>
        </w:rPr>
        <w:t>.</w:t>
      </w:r>
    </w:p>
    <w:p w14:paraId="3A7C2687" w14:textId="3A079600"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E3277D">
        <w:rPr>
          <w:rFonts w:cs="Arial"/>
          <w:b/>
          <w:bCs/>
          <w:i/>
        </w:rPr>
        <w:t>150</w:t>
      </w:r>
      <w:r w:rsidR="0037603A">
        <w:rPr>
          <w:rFonts w:cs="Arial"/>
          <w:b/>
          <w:bCs/>
          <w:i/>
        </w:rPr>
        <w:t>.000,00</w:t>
      </w:r>
      <w:r w:rsidR="006D6042" w:rsidRPr="0000115E">
        <w:rPr>
          <w:rFonts w:asciiTheme="majorHAnsi" w:hAnsiTheme="majorHAnsi" w:cstheme="majorHAnsi"/>
          <w:b/>
          <w:i/>
          <w:color w:val="000000" w:themeColor="text1"/>
        </w:rPr>
        <w:t xml:space="preserve"> (net)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6B2EDAB6"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even" r:id="rId11"/>
          <w:headerReference w:type="default" r:id="rId12"/>
          <w:footerReference w:type="even" r:id="rId13"/>
          <w:footerReference w:type="default" r:id="rId14"/>
          <w:headerReference w:type="first" r:id="rId15"/>
          <w:footerReference w:type="first" r:id="rId16"/>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*official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7"/>
      <w:footerReference w:type="default" r:id="rId18"/>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1003" w14:textId="77777777" w:rsidR="00090FA0" w:rsidRDefault="00090FA0" w:rsidP="00A637D0">
      <w:r>
        <w:separator/>
      </w:r>
    </w:p>
  </w:endnote>
  <w:endnote w:type="continuationSeparator" w:id="0">
    <w:p w14:paraId="153611F7" w14:textId="77777777" w:rsidR="00090FA0" w:rsidRDefault="00090FA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9BEA" w14:textId="77777777" w:rsidR="00D9182B" w:rsidRDefault="00D918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40C03FE5" w:rsidR="00171AD6" w:rsidRPr="008C4CB4" w:rsidRDefault="00426E75" w:rsidP="00F85193">
    <w:pPr>
      <w:pStyle w:val="Fuzeile"/>
      <w:tabs>
        <w:tab w:val="clear" w:pos="4536"/>
        <w:tab w:val="clear" w:pos="9072"/>
        <w:tab w:val="center" w:pos="4253"/>
        <w:tab w:val="right" w:pos="8788"/>
      </w:tabs>
    </w:pPr>
    <w:r>
      <w:rPr>
        <w:rFonts w:cs="Arial"/>
        <w:sz w:val="18"/>
        <w:szCs w:val="18"/>
      </w:rPr>
      <w:t>10</w:t>
    </w:r>
    <w:r w:rsidR="0063664C">
      <w:rPr>
        <w:rFonts w:cs="Arial"/>
        <w:sz w:val="18"/>
        <w:szCs w:val="18"/>
      </w:rPr>
      <w:t>/2025</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1D1C" w14:textId="77777777" w:rsidR="00090FA0" w:rsidRDefault="00090FA0" w:rsidP="00A637D0">
      <w:r>
        <w:separator/>
      </w:r>
    </w:p>
  </w:footnote>
  <w:footnote w:type="continuationSeparator" w:id="0">
    <w:p w14:paraId="0B23D6A7" w14:textId="77777777" w:rsidR="00090FA0" w:rsidRDefault="00090FA0"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7CC9" w14:textId="77777777" w:rsidR="00D9182B" w:rsidRDefault="00D918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2"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2"/>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90FA0"/>
    <w:rsid w:val="000A5C66"/>
    <w:rsid w:val="000A63B6"/>
    <w:rsid w:val="000B0E75"/>
    <w:rsid w:val="000B478D"/>
    <w:rsid w:val="000C1CE3"/>
    <w:rsid w:val="000C3816"/>
    <w:rsid w:val="000D0328"/>
    <w:rsid w:val="000D2D16"/>
    <w:rsid w:val="000D3359"/>
    <w:rsid w:val="000E4FA6"/>
    <w:rsid w:val="000E7BB7"/>
    <w:rsid w:val="000F1C7E"/>
    <w:rsid w:val="000F6A95"/>
    <w:rsid w:val="00101FDB"/>
    <w:rsid w:val="00104387"/>
    <w:rsid w:val="001058D6"/>
    <w:rsid w:val="00112883"/>
    <w:rsid w:val="001130BA"/>
    <w:rsid w:val="00113204"/>
    <w:rsid w:val="00114116"/>
    <w:rsid w:val="00114F6C"/>
    <w:rsid w:val="00125B43"/>
    <w:rsid w:val="00126E89"/>
    <w:rsid w:val="00131B58"/>
    <w:rsid w:val="00131DC6"/>
    <w:rsid w:val="00133D7E"/>
    <w:rsid w:val="00134C31"/>
    <w:rsid w:val="00143B6A"/>
    <w:rsid w:val="00150FD8"/>
    <w:rsid w:val="00165E31"/>
    <w:rsid w:val="00170E67"/>
    <w:rsid w:val="00171AD6"/>
    <w:rsid w:val="0017474D"/>
    <w:rsid w:val="001771D3"/>
    <w:rsid w:val="00181F4F"/>
    <w:rsid w:val="00183FF5"/>
    <w:rsid w:val="00190868"/>
    <w:rsid w:val="001971C2"/>
    <w:rsid w:val="001A17F0"/>
    <w:rsid w:val="001A17F9"/>
    <w:rsid w:val="001B11D3"/>
    <w:rsid w:val="001B1784"/>
    <w:rsid w:val="001B4A1A"/>
    <w:rsid w:val="001B5A89"/>
    <w:rsid w:val="001B7AAD"/>
    <w:rsid w:val="001C02EF"/>
    <w:rsid w:val="001C07C7"/>
    <w:rsid w:val="001C30D2"/>
    <w:rsid w:val="001C4A64"/>
    <w:rsid w:val="001D41F6"/>
    <w:rsid w:val="001D6A12"/>
    <w:rsid w:val="001E491C"/>
    <w:rsid w:val="001E6079"/>
    <w:rsid w:val="001F4FEC"/>
    <w:rsid w:val="001F60C0"/>
    <w:rsid w:val="00200B0F"/>
    <w:rsid w:val="002045A8"/>
    <w:rsid w:val="00205815"/>
    <w:rsid w:val="0021153B"/>
    <w:rsid w:val="00214A73"/>
    <w:rsid w:val="00220290"/>
    <w:rsid w:val="00225F55"/>
    <w:rsid w:val="002320DD"/>
    <w:rsid w:val="00247C37"/>
    <w:rsid w:val="002516F9"/>
    <w:rsid w:val="0025197C"/>
    <w:rsid w:val="002532B6"/>
    <w:rsid w:val="00255773"/>
    <w:rsid w:val="00260630"/>
    <w:rsid w:val="002616A5"/>
    <w:rsid w:val="0026450A"/>
    <w:rsid w:val="00282548"/>
    <w:rsid w:val="002840F5"/>
    <w:rsid w:val="00287635"/>
    <w:rsid w:val="00293310"/>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7603A"/>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5BA6"/>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694F"/>
    <w:rsid w:val="0049307C"/>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F6C07"/>
    <w:rsid w:val="0060309B"/>
    <w:rsid w:val="00606041"/>
    <w:rsid w:val="00613B92"/>
    <w:rsid w:val="00616C1F"/>
    <w:rsid w:val="00625191"/>
    <w:rsid w:val="006347AA"/>
    <w:rsid w:val="0063664C"/>
    <w:rsid w:val="00637392"/>
    <w:rsid w:val="00641269"/>
    <w:rsid w:val="00642A84"/>
    <w:rsid w:val="006472BF"/>
    <w:rsid w:val="006510C6"/>
    <w:rsid w:val="00653B5F"/>
    <w:rsid w:val="00655A55"/>
    <w:rsid w:val="006601D0"/>
    <w:rsid w:val="00663EA1"/>
    <w:rsid w:val="00676078"/>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913C9"/>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3FA7"/>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6D6F"/>
    <w:rsid w:val="009016BF"/>
    <w:rsid w:val="0090305D"/>
    <w:rsid w:val="0091276A"/>
    <w:rsid w:val="00912A74"/>
    <w:rsid w:val="009239DC"/>
    <w:rsid w:val="00925D2C"/>
    <w:rsid w:val="00925D36"/>
    <w:rsid w:val="0092613C"/>
    <w:rsid w:val="0092712A"/>
    <w:rsid w:val="00927C1C"/>
    <w:rsid w:val="00950A8B"/>
    <w:rsid w:val="00951094"/>
    <w:rsid w:val="00951918"/>
    <w:rsid w:val="00957AEB"/>
    <w:rsid w:val="00957D5A"/>
    <w:rsid w:val="00962006"/>
    <w:rsid w:val="00964A05"/>
    <w:rsid w:val="009677AA"/>
    <w:rsid w:val="00967801"/>
    <w:rsid w:val="009779F7"/>
    <w:rsid w:val="00981749"/>
    <w:rsid w:val="009850A2"/>
    <w:rsid w:val="00986F97"/>
    <w:rsid w:val="00995E08"/>
    <w:rsid w:val="009A13D5"/>
    <w:rsid w:val="009B0BA2"/>
    <w:rsid w:val="009C2E1B"/>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6E81"/>
    <w:rsid w:val="00A33934"/>
    <w:rsid w:val="00A454D1"/>
    <w:rsid w:val="00A507FC"/>
    <w:rsid w:val="00A516B4"/>
    <w:rsid w:val="00A54DAA"/>
    <w:rsid w:val="00A553FE"/>
    <w:rsid w:val="00A61E3B"/>
    <w:rsid w:val="00A62ADB"/>
    <w:rsid w:val="00A637D0"/>
    <w:rsid w:val="00A64890"/>
    <w:rsid w:val="00A66242"/>
    <w:rsid w:val="00A71D28"/>
    <w:rsid w:val="00A73771"/>
    <w:rsid w:val="00A95A9F"/>
    <w:rsid w:val="00AA0BB3"/>
    <w:rsid w:val="00AA6CC8"/>
    <w:rsid w:val="00AA7AC2"/>
    <w:rsid w:val="00AB192E"/>
    <w:rsid w:val="00AB4724"/>
    <w:rsid w:val="00AC0E75"/>
    <w:rsid w:val="00AC2FA8"/>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2983"/>
    <w:rsid w:val="00C538E0"/>
    <w:rsid w:val="00C61FBD"/>
    <w:rsid w:val="00C623BF"/>
    <w:rsid w:val="00C62517"/>
    <w:rsid w:val="00C66567"/>
    <w:rsid w:val="00C67B1F"/>
    <w:rsid w:val="00C71E63"/>
    <w:rsid w:val="00C75ABA"/>
    <w:rsid w:val="00C76E1E"/>
    <w:rsid w:val="00C85AE8"/>
    <w:rsid w:val="00C907D8"/>
    <w:rsid w:val="00C925EA"/>
    <w:rsid w:val="00C95585"/>
    <w:rsid w:val="00CB118A"/>
    <w:rsid w:val="00CC342C"/>
    <w:rsid w:val="00CC41DD"/>
    <w:rsid w:val="00CC4DB7"/>
    <w:rsid w:val="00CD1093"/>
    <w:rsid w:val="00CD50B4"/>
    <w:rsid w:val="00CD5DF4"/>
    <w:rsid w:val="00CD7118"/>
    <w:rsid w:val="00D015D8"/>
    <w:rsid w:val="00D027FB"/>
    <w:rsid w:val="00D04E22"/>
    <w:rsid w:val="00D10CF9"/>
    <w:rsid w:val="00D11C26"/>
    <w:rsid w:val="00D2054F"/>
    <w:rsid w:val="00D26A6F"/>
    <w:rsid w:val="00D30ADC"/>
    <w:rsid w:val="00D31F19"/>
    <w:rsid w:val="00D34939"/>
    <w:rsid w:val="00D377D7"/>
    <w:rsid w:val="00D41FC5"/>
    <w:rsid w:val="00D555F8"/>
    <w:rsid w:val="00D57F24"/>
    <w:rsid w:val="00D67898"/>
    <w:rsid w:val="00D72FC2"/>
    <w:rsid w:val="00D75880"/>
    <w:rsid w:val="00D86AE7"/>
    <w:rsid w:val="00D915D5"/>
    <w:rsid w:val="00D9182B"/>
    <w:rsid w:val="00D9231B"/>
    <w:rsid w:val="00DA3266"/>
    <w:rsid w:val="00DA4967"/>
    <w:rsid w:val="00DD48B5"/>
    <w:rsid w:val="00DD592E"/>
    <w:rsid w:val="00DD658A"/>
    <w:rsid w:val="00DE3562"/>
    <w:rsid w:val="00DE66E1"/>
    <w:rsid w:val="00DE6D89"/>
    <w:rsid w:val="00DE7521"/>
    <w:rsid w:val="00DE7E67"/>
    <w:rsid w:val="00DE7EDA"/>
    <w:rsid w:val="00DF0BA5"/>
    <w:rsid w:val="00DF6940"/>
    <w:rsid w:val="00DF6E8E"/>
    <w:rsid w:val="00E00A39"/>
    <w:rsid w:val="00E01F7E"/>
    <w:rsid w:val="00E17E99"/>
    <w:rsid w:val="00E26540"/>
    <w:rsid w:val="00E30D70"/>
    <w:rsid w:val="00E3277D"/>
    <w:rsid w:val="00E32D5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7E10"/>
    <w:rsid w:val="00EC5407"/>
    <w:rsid w:val="00ED20AC"/>
    <w:rsid w:val="00ED47EB"/>
    <w:rsid w:val="00ED67E0"/>
    <w:rsid w:val="00EE15A3"/>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2F1AD4"/>
    <w:rsid w:val="00340C60"/>
    <w:rsid w:val="00360707"/>
    <w:rsid w:val="003C4227"/>
    <w:rsid w:val="004960A3"/>
    <w:rsid w:val="004A750D"/>
    <w:rsid w:val="00606041"/>
    <w:rsid w:val="007937CF"/>
    <w:rsid w:val="008152EA"/>
    <w:rsid w:val="00853FA7"/>
    <w:rsid w:val="008800DB"/>
    <w:rsid w:val="008E693E"/>
    <w:rsid w:val="00AA321B"/>
    <w:rsid w:val="00C36454"/>
    <w:rsid w:val="00D75880"/>
    <w:rsid w:val="00DE7E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2196</Words>
  <Characters>13837</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03/2025</vt:lpstr>
      <vt:lpstr>eigenerklaerung-nicht-offenes-verfahren-verhandlungsverfahren-mit-teilnahmewettbewerb-en.docx, Stand: 12/2023</vt:lpstr>
    </vt:vector>
  </TitlesOfParts>
  <Company>GIZ GmbH</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10/2025</dc:title>
  <dc:creator>Holger Niedenfuehr</dc:creator>
  <cp:lastModifiedBy>BHO Legal (CK)</cp:lastModifiedBy>
  <cp:revision>7</cp:revision>
  <cp:lastPrinted>2022-11-25T16:31:00Z</cp:lastPrinted>
  <dcterms:created xsi:type="dcterms:W3CDTF">2025-10-20T16:11:00Z</dcterms:created>
  <dcterms:modified xsi:type="dcterms:W3CDTF">2026-01-26T13:21:00Z</dcterms:modified>
</cp:coreProperties>
</file>